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451" w:rsidRPr="007D1F60" w:rsidRDefault="00E1222A" w:rsidP="007D1F60">
      <w:pPr>
        <w:pStyle w:val="BodyA"/>
        <w:spacing w:after="120" w:line="336" w:lineRule="auto"/>
        <w:jc w:val="center"/>
        <w:rPr>
          <w:rFonts w:ascii="Times New Roman" w:eastAsia="Times New Roman Bold" w:hAnsi="Times New Roman" w:cs="Times New Roman"/>
          <w:sz w:val="28"/>
          <w:szCs w:val="28"/>
          <w:u w:val="single"/>
        </w:rPr>
      </w:pPr>
      <w:r w:rsidRPr="007D1F60">
        <w:rPr>
          <w:rFonts w:ascii="Times New Roman" w:hAnsi="Times New Roman" w:cs="Times New Roman"/>
          <w:sz w:val="28"/>
          <w:szCs w:val="28"/>
          <w:u w:val="single"/>
        </w:rPr>
        <w:t>Public Law</w:t>
      </w:r>
      <w:r w:rsidR="00E1768B" w:rsidRPr="007D1F60">
        <w:rPr>
          <w:rFonts w:ascii="Times New Roman" w:hAnsi="Times New Roman" w:cs="Times New Roman"/>
          <w:sz w:val="28"/>
          <w:szCs w:val="28"/>
          <w:u w:val="single"/>
        </w:rPr>
        <w:t xml:space="preserve"> Moot Problem</w:t>
      </w:r>
    </w:p>
    <w:p w:rsidR="00574451" w:rsidRPr="007D1F60" w:rsidRDefault="00E1768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 xml:space="preserve">The UK Government decided to construct a high-speed railway from London to Manchester. During the consultation, there were concerns raised because the planned route runs through a moor near Buxton, which is the only remaining habitat of four endangered species of amphibians. It is believed that the construction of the railway is likely to result in the extinction of at least two species. Despite these concerns, the Government decided to proceed with the construction of the railway. </w:t>
      </w:r>
    </w:p>
    <w:p w:rsidR="00574451" w:rsidRPr="007D1F60" w:rsidRDefault="00E1768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As the owner of the land, a charitable trust for the conservation of the land, did not wish to sell the land, the Secretary of State for the Environment used his powers under s.27 of the (fictional) Environmental Protection Act 2003 to make a compulsory purchase of the relevant tracts of land. Insofar as relevant, the section 27 of the Act provides that the Secretary of State may exercise his power to make compulsory purchases ‘to preserve biodiversity and to protect the environment for the common weal</w:t>
      </w:r>
      <w:r w:rsidR="00DF537C" w:rsidRPr="007D1F60">
        <w:rPr>
          <w:rFonts w:ascii="Times New Roman" w:hAnsi="Times New Roman" w:cs="Times New Roman"/>
        </w:rPr>
        <w:t>th</w:t>
      </w:r>
      <w:r w:rsidRPr="007D1F60">
        <w:rPr>
          <w:rFonts w:ascii="Times New Roman" w:hAnsi="Times New Roman" w:cs="Times New Roman"/>
        </w:rPr>
        <w:t xml:space="preserve"> of the nation’. After some press </w:t>
      </w:r>
      <w:proofErr w:type="spellStart"/>
      <w:r w:rsidRPr="007D1F60">
        <w:rPr>
          <w:rFonts w:ascii="Times New Roman" w:hAnsi="Times New Roman" w:cs="Times New Roman"/>
        </w:rPr>
        <w:t>furore</w:t>
      </w:r>
      <w:proofErr w:type="spellEnd"/>
      <w:r w:rsidRPr="007D1F60">
        <w:rPr>
          <w:rFonts w:ascii="Times New Roman" w:hAnsi="Times New Roman" w:cs="Times New Roman"/>
        </w:rPr>
        <w:t xml:space="preserve"> over the controversial compulsory purchase, the </w:t>
      </w:r>
      <w:r w:rsidR="00E1222A" w:rsidRPr="007D1F60">
        <w:rPr>
          <w:rFonts w:ascii="Times New Roman" w:hAnsi="Times New Roman" w:cs="Times New Roman"/>
        </w:rPr>
        <w:t>Department of the Environment</w:t>
      </w:r>
      <w:r w:rsidRPr="007D1F60">
        <w:rPr>
          <w:rFonts w:ascii="Times New Roman" w:hAnsi="Times New Roman" w:cs="Times New Roman"/>
        </w:rPr>
        <w:t xml:space="preserve"> released a statement which stated that an objective of the compulsory purchase was ‘to shift a significant amount of goods and passenger transit from the road to rail,’ and that ‘the Government believes that this will protect both biodiversity and the environment because it will control the rise of global warming’. </w:t>
      </w:r>
    </w:p>
    <w:p w:rsidR="00E1768B" w:rsidRPr="007D1F60" w:rsidRDefault="00E1768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 xml:space="preserve">The Environmental Alliance for North Yorkshire, a charity established for the protection of endangered animals, was highly suspicious of the Government’s justification. On behalf of its 850 members, who all reside in Yorkshire and are moor rambling amphibian spotters, the Alliance filed a request with the Department of the Environment under the Freedom of Information Act 2000 (‘FOIA’) for the minutes and supporting documentation of all the meetings where the compulsory acquisition was discussed. The Department of the Environment refused the requests on the grounds of </w:t>
      </w:r>
      <w:proofErr w:type="gramStart"/>
      <w:r w:rsidRPr="007D1F60">
        <w:rPr>
          <w:rFonts w:ascii="Times New Roman" w:hAnsi="Times New Roman" w:cs="Times New Roman"/>
        </w:rPr>
        <w:t>ss.36(</w:t>
      </w:r>
      <w:proofErr w:type="gramEnd"/>
      <w:r w:rsidRPr="007D1F60">
        <w:rPr>
          <w:rFonts w:ascii="Times New Roman" w:hAnsi="Times New Roman" w:cs="Times New Roman"/>
        </w:rPr>
        <w:t>2)(b)(ii), 36(2)(c) and 43(</w:t>
      </w:r>
      <w:r w:rsidR="000F5C1F" w:rsidRPr="007D1F60">
        <w:rPr>
          <w:rFonts w:ascii="Times New Roman" w:hAnsi="Times New Roman" w:cs="Times New Roman"/>
        </w:rPr>
        <w:t>2</w:t>
      </w:r>
      <w:r w:rsidRPr="007D1F60">
        <w:rPr>
          <w:rFonts w:ascii="Times New Roman" w:hAnsi="Times New Roman" w:cs="Times New Roman"/>
        </w:rPr>
        <w:t xml:space="preserve">) FOIA. The Department maintains that the meeting minutes should be exempt because they are likely to inhibit the frank exchange of ideas pursuant to </w:t>
      </w:r>
      <w:proofErr w:type="gramStart"/>
      <w:r w:rsidRPr="007D1F60">
        <w:rPr>
          <w:rFonts w:ascii="Times New Roman" w:hAnsi="Times New Roman" w:cs="Times New Roman"/>
        </w:rPr>
        <w:t>s.36(</w:t>
      </w:r>
      <w:proofErr w:type="gramEnd"/>
      <w:r w:rsidRPr="007D1F60">
        <w:rPr>
          <w:rFonts w:ascii="Times New Roman" w:hAnsi="Times New Roman" w:cs="Times New Roman"/>
        </w:rPr>
        <w:t xml:space="preserve">2)(b)(ii) FOIA and likely to </w:t>
      </w:r>
      <w:r w:rsidR="00E1222A" w:rsidRPr="007D1F60">
        <w:rPr>
          <w:rFonts w:ascii="Times New Roman" w:hAnsi="Times New Roman" w:cs="Times New Roman"/>
        </w:rPr>
        <w:t>prejudice</w:t>
      </w:r>
      <w:r w:rsidRPr="007D1F60">
        <w:rPr>
          <w:rFonts w:ascii="Times New Roman" w:hAnsi="Times New Roman" w:cs="Times New Roman"/>
        </w:rPr>
        <w:t xml:space="preserve"> the effective working of the government pursuant to s.36(2)(c) FOIA. In addition, the release of the supporting documents, including the relevant bid documents and planning proposals, might reveal commercially sensitive information about the business processes of their contractors for the project. Therefore</w:t>
      </w:r>
      <w:r w:rsidR="00DE4530" w:rsidRPr="007D1F60">
        <w:rPr>
          <w:rFonts w:ascii="Times New Roman" w:hAnsi="Times New Roman" w:cs="Times New Roman"/>
        </w:rPr>
        <w:t>, the supporting documents</w:t>
      </w:r>
      <w:r w:rsidRPr="007D1F60">
        <w:rPr>
          <w:rFonts w:ascii="Times New Roman" w:hAnsi="Times New Roman" w:cs="Times New Roman"/>
        </w:rPr>
        <w:t xml:space="preserve"> should</w:t>
      </w:r>
      <w:r w:rsidR="00DE4530" w:rsidRPr="007D1F60">
        <w:rPr>
          <w:rFonts w:ascii="Times New Roman" w:hAnsi="Times New Roman" w:cs="Times New Roman"/>
        </w:rPr>
        <w:t xml:space="preserve"> also</w:t>
      </w:r>
      <w:r w:rsidRPr="007D1F60">
        <w:rPr>
          <w:rFonts w:ascii="Times New Roman" w:hAnsi="Times New Roman" w:cs="Times New Roman"/>
        </w:rPr>
        <w:t xml:space="preserve"> be exempt i</w:t>
      </w:r>
      <w:r w:rsidR="000F5C1F" w:rsidRPr="007D1F60">
        <w:rPr>
          <w:rFonts w:ascii="Times New Roman" w:hAnsi="Times New Roman" w:cs="Times New Roman"/>
        </w:rPr>
        <w:t xml:space="preserve">nformation pursuant to </w:t>
      </w:r>
      <w:proofErr w:type="gramStart"/>
      <w:r w:rsidR="000F5C1F" w:rsidRPr="007D1F60">
        <w:rPr>
          <w:rFonts w:ascii="Times New Roman" w:hAnsi="Times New Roman" w:cs="Times New Roman"/>
        </w:rPr>
        <w:t>s.43(</w:t>
      </w:r>
      <w:proofErr w:type="gramEnd"/>
      <w:r w:rsidR="000F5C1F" w:rsidRPr="007D1F60">
        <w:rPr>
          <w:rFonts w:ascii="Times New Roman" w:hAnsi="Times New Roman" w:cs="Times New Roman"/>
        </w:rPr>
        <w:t>2</w:t>
      </w:r>
      <w:r w:rsidRPr="007D1F60">
        <w:rPr>
          <w:rFonts w:ascii="Times New Roman" w:hAnsi="Times New Roman" w:cs="Times New Roman"/>
        </w:rPr>
        <w:t xml:space="preserve">) FOIA. </w:t>
      </w:r>
    </w:p>
    <w:p w:rsidR="00574451" w:rsidRPr="007D1F60" w:rsidRDefault="00E1768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lastRenderedPageBreak/>
        <w:t xml:space="preserve">Although the trustees of the charitable trust owning the land are deeply concerned about the compulsory purchase, they decided not to institute proceedings for judicial review. Consequently, the Alliance decided to apply for a judicial review of the compulsory purchase. The Alliance also decided to appeal against the decisions by the Department of the Environment not to provide it with the requested information under FOIA. Snell Petroleum, a large oil and gas company, heard about the Alliance’s plan to start a judicial review and offered to </w:t>
      </w:r>
      <w:proofErr w:type="spellStart"/>
      <w:r w:rsidRPr="007D1F60">
        <w:rPr>
          <w:rFonts w:ascii="Times New Roman" w:hAnsi="Times New Roman" w:cs="Times New Roman"/>
        </w:rPr>
        <w:t>subsidise</w:t>
      </w:r>
      <w:proofErr w:type="spellEnd"/>
      <w:r w:rsidRPr="007D1F60">
        <w:rPr>
          <w:rFonts w:ascii="Times New Roman" w:hAnsi="Times New Roman" w:cs="Times New Roman"/>
        </w:rPr>
        <w:t xml:space="preserve"> half of the litigation costs. Although the Alliance was confident of being able to finance the litigation by using its savings and by getting donations, it decided to accept the offer by Snell Petroleum as it reasoned that it could keep its savings for other purposes.  </w:t>
      </w:r>
    </w:p>
    <w:p w:rsidR="00E1768B" w:rsidRPr="007D1F60" w:rsidRDefault="00E1768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The Alliance submits that (1) the Department of the Environment had to release the meeting minutes pursuant to s.1(1) FOIA because the information was not exempt pursuant to ss.36(2)(b)(ii), 36(2)(c) and 43(</w:t>
      </w:r>
      <w:r w:rsidR="000F5C1F" w:rsidRPr="007D1F60">
        <w:rPr>
          <w:rFonts w:ascii="Times New Roman" w:hAnsi="Times New Roman" w:cs="Times New Roman"/>
        </w:rPr>
        <w:t>2</w:t>
      </w:r>
      <w:r w:rsidRPr="007D1F60">
        <w:rPr>
          <w:rFonts w:ascii="Times New Roman" w:hAnsi="Times New Roman" w:cs="Times New Roman"/>
        </w:rPr>
        <w:t xml:space="preserve">) FOIA, (2) the Alliance, as a public interest body, had the standing to bring the judicial review and (3) the Alliance’s decision to accept the litigation funding by Snell Petroleum does not prevent it from having the standing to bring a judicial review. </w:t>
      </w:r>
    </w:p>
    <w:p w:rsidR="00574451" w:rsidRPr="007D1F60" w:rsidRDefault="00E1768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Counsels are instructed to act for the Alliance and the Crown respectively. Counsels are required to address the following points in their submissions:</w:t>
      </w:r>
    </w:p>
    <w:p w:rsidR="00E1768B" w:rsidRPr="007D1F60" w:rsidRDefault="00E1768B" w:rsidP="007D1F60">
      <w:pPr>
        <w:pStyle w:val="BodyA"/>
        <w:numPr>
          <w:ilvl w:val="0"/>
          <w:numId w:val="3"/>
        </w:numPr>
        <w:tabs>
          <w:tab w:val="num" w:pos="720"/>
        </w:tabs>
        <w:spacing w:after="120" w:line="336" w:lineRule="auto"/>
        <w:ind w:left="720" w:hanging="360"/>
        <w:jc w:val="both"/>
        <w:rPr>
          <w:rFonts w:ascii="Times New Roman" w:hAnsi="Times New Roman" w:cs="Times New Roman"/>
        </w:rPr>
      </w:pPr>
      <w:r w:rsidRPr="007D1F60">
        <w:rPr>
          <w:rFonts w:ascii="Times New Roman" w:hAnsi="Times New Roman" w:cs="Times New Roman"/>
        </w:rPr>
        <w:t>Must the Department of the Environment release the information based on the Freedom of Information Act 2000</w:t>
      </w:r>
      <w:r w:rsidR="00DE4530" w:rsidRPr="007D1F60">
        <w:rPr>
          <w:rFonts w:ascii="Times New Roman" w:hAnsi="Times New Roman" w:cs="Times New Roman"/>
        </w:rPr>
        <w:t xml:space="preserve"> (‘FOIA’)</w:t>
      </w:r>
      <w:r w:rsidRPr="007D1F60">
        <w:rPr>
          <w:rFonts w:ascii="Times New Roman" w:hAnsi="Times New Roman" w:cs="Times New Roman"/>
        </w:rPr>
        <w:t xml:space="preserve">? </w:t>
      </w:r>
      <w:r w:rsidR="000F5C1F" w:rsidRPr="007D1F60">
        <w:rPr>
          <w:rFonts w:ascii="Times New Roman" w:hAnsi="Times New Roman" w:cs="Times New Roman"/>
        </w:rPr>
        <w:t>With regard to exempt information, b</w:t>
      </w:r>
      <w:r w:rsidRPr="007D1F60">
        <w:rPr>
          <w:rFonts w:ascii="Times New Roman" w:hAnsi="Times New Roman" w:cs="Times New Roman"/>
        </w:rPr>
        <w:t>oth counsels are advised to focus on ss.36 and 43 FOIA and to disregard any submission</w:t>
      </w:r>
      <w:r w:rsidR="000F5C1F" w:rsidRPr="007D1F60">
        <w:rPr>
          <w:rFonts w:ascii="Times New Roman" w:hAnsi="Times New Roman" w:cs="Times New Roman"/>
        </w:rPr>
        <w:t>s</w:t>
      </w:r>
      <w:r w:rsidRPr="007D1F60">
        <w:rPr>
          <w:rFonts w:ascii="Times New Roman" w:hAnsi="Times New Roman" w:cs="Times New Roman"/>
        </w:rPr>
        <w:t xml:space="preserve"> based on s.35 FOIA. </w:t>
      </w:r>
    </w:p>
    <w:p w:rsidR="000F5C1F" w:rsidRPr="007D1F60" w:rsidRDefault="000F5C1F"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 xml:space="preserve">In the UK, the Freedom of Information Act 2000 (‘FOIA’) aims to promote transparency by the Government and gives the </w:t>
      </w:r>
      <w:r w:rsidR="00E9249B" w:rsidRPr="007D1F60">
        <w:rPr>
          <w:rFonts w:ascii="Times New Roman" w:hAnsi="Times New Roman" w:cs="Times New Roman"/>
        </w:rPr>
        <w:t xml:space="preserve">members of the </w:t>
      </w:r>
      <w:r w:rsidRPr="007D1F60">
        <w:rPr>
          <w:rFonts w:ascii="Times New Roman" w:hAnsi="Times New Roman" w:cs="Times New Roman"/>
        </w:rPr>
        <w:t xml:space="preserve">public the right to request information from public authorities. If the public authority has the information, there is a </w:t>
      </w:r>
      <w:r w:rsidRPr="007D1F60">
        <w:rPr>
          <w:rFonts w:ascii="Times New Roman" w:hAnsi="Times New Roman" w:cs="Times New Roman"/>
          <w:i/>
        </w:rPr>
        <w:t>prima facie</w:t>
      </w:r>
      <w:r w:rsidRPr="007D1F60">
        <w:rPr>
          <w:rFonts w:ascii="Times New Roman" w:hAnsi="Times New Roman" w:cs="Times New Roman"/>
        </w:rPr>
        <w:t xml:space="preserve"> requirement for the public authority to communicate the information to the person making the request (</w:t>
      </w:r>
      <w:proofErr w:type="gramStart"/>
      <w:r w:rsidRPr="007D1F60">
        <w:rPr>
          <w:rFonts w:ascii="Times New Roman" w:hAnsi="Times New Roman" w:cs="Times New Roman"/>
        </w:rPr>
        <w:t>s.1(</w:t>
      </w:r>
      <w:proofErr w:type="gramEnd"/>
      <w:r w:rsidRPr="007D1F60">
        <w:rPr>
          <w:rFonts w:ascii="Times New Roman" w:hAnsi="Times New Roman" w:cs="Times New Roman"/>
        </w:rPr>
        <w:t>1) FOIA). However, there are relevant exemptions for particular types of information. In particular, we are focusing on ss.36 and 43 FOIA.</w:t>
      </w:r>
    </w:p>
    <w:p w:rsidR="000F5C1F" w:rsidRPr="007D1F60" w:rsidRDefault="000F5C1F"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 xml:space="preserve">According to </w:t>
      </w:r>
      <w:proofErr w:type="gramStart"/>
      <w:r w:rsidRPr="007D1F60">
        <w:rPr>
          <w:rFonts w:ascii="Times New Roman" w:hAnsi="Times New Roman" w:cs="Times New Roman"/>
        </w:rPr>
        <w:t>s.36(</w:t>
      </w:r>
      <w:proofErr w:type="gramEnd"/>
      <w:r w:rsidRPr="007D1F60">
        <w:rPr>
          <w:rFonts w:ascii="Times New Roman" w:hAnsi="Times New Roman" w:cs="Times New Roman"/>
        </w:rPr>
        <w:t>2)(b)(ii) FOIA, information would be exempt if, in the reasonable opinion of a qualified person, disclosure is likely to inhibit the free and frank exchange of information for deliberation. Section 36(2</w:t>
      </w:r>
      <w:proofErr w:type="gramStart"/>
      <w:r w:rsidRPr="007D1F60">
        <w:rPr>
          <w:rFonts w:ascii="Times New Roman" w:hAnsi="Times New Roman" w:cs="Times New Roman"/>
        </w:rPr>
        <w:t>)(</w:t>
      </w:r>
      <w:proofErr w:type="gramEnd"/>
      <w:r w:rsidRPr="007D1F60">
        <w:rPr>
          <w:rFonts w:ascii="Times New Roman" w:hAnsi="Times New Roman" w:cs="Times New Roman"/>
        </w:rPr>
        <w:t xml:space="preserve">c) FOIA provides that information will be exempt if, in the reasonable opinion of a qualified person, disclosure is likely to prejudice the effective conduct of public affairs. Finally, </w:t>
      </w:r>
      <w:proofErr w:type="gramStart"/>
      <w:r w:rsidRPr="007D1F60">
        <w:rPr>
          <w:rFonts w:ascii="Times New Roman" w:hAnsi="Times New Roman" w:cs="Times New Roman"/>
        </w:rPr>
        <w:t>s.43(</w:t>
      </w:r>
      <w:proofErr w:type="gramEnd"/>
      <w:r w:rsidRPr="007D1F60">
        <w:rPr>
          <w:rFonts w:ascii="Times New Roman" w:hAnsi="Times New Roman" w:cs="Times New Roman"/>
        </w:rPr>
        <w:t xml:space="preserve">2) </w:t>
      </w:r>
      <w:r w:rsidRPr="007D1F60">
        <w:rPr>
          <w:rFonts w:ascii="Times New Roman" w:hAnsi="Times New Roman" w:cs="Times New Roman"/>
        </w:rPr>
        <w:lastRenderedPageBreak/>
        <w:t xml:space="preserve">FOIA provides that information will be exempt if the disclosure is likely to prejudice the commercial interests of any person. </w:t>
      </w:r>
    </w:p>
    <w:p w:rsidR="000F5C1F" w:rsidRPr="007D1F60" w:rsidRDefault="000F5C1F"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It is also important to note that the</w:t>
      </w:r>
      <w:r w:rsidR="00E1222A" w:rsidRPr="007D1F60">
        <w:rPr>
          <w:rFonts w:ascii="Times New Roman" w:hAnsi="Times New Roman" w:cs="Times New Roman"/>
        </w:rPr>
        <w:t xml:space="preserve"> above</w:t>
      </w:r>
      <w:r w:rsidRPr="007D1F60">
        <w:rPr>
          <w:rFonts w:ascii="Times New Roman" w:hAnsi="Times New Roman" w:cs="Times New Roman"/>
        </w:rPr>
        <w:t xml:space="preserve"> exemptions are not </w:t>
      </w:r>
      <w:r w:rsidR="005558B4" w:rsidRPr="007D1F60">
        <w:rPr>
          <w:rFonts w:ascii="Times New Roman" w:hAnsi="Times New Roman" w:cs="Times New Roman"/>
        </w:rPr>
        <w:t xml:space="preserve">absolute and that the public interest in maintaining the exemption must outweigh the public interest in disclosing the information (ss.2(2)(b), 2(2)(c) FOIA). </w:t>
      </w:r>
    </w:p>
    <w:p w:rsidR="005558B4" w:rsidRPr="007D1F60" w:rsidRDefault="005558B4"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 xml:space="preserve">Generally, the issue is whether the public authority has the right not to disclose the information requested by the Alliance in relation to the Department of the Environment’s decision to make the compulsory purchase. Given that there is a </w:t>
      </w:r>
      <w:r w:rsidRPr="007D1F60">
        <w:rPr>
          <w:rFonts w:ascii="Times New Roman" w:hAnsi="Times New Roman" w:cs="Times New Roman"/>
          <w:i/>
        </w:rPr>
        <w:t>prima facie</w:t>
      </w:r>
      <w:r w:rsidRPr="007D1F60">
        <w:rPr>
          <w:rFonts w:ascii="Times New Roman" w:hAnsi="Times New Roman" w:cs="Times New Roman"/>
        </w:rPr>
        <w:t xml:space="preserve"> right to information, this will be determined by (1) whether there is an exemption that applies and (2) whether the public interest for the exemptions outweighs the public interest for disclosure.   </w:t>
      </w:r>
    </w:p>
    <w:p w:rsidR="00574451" w:rsidRPr="007D1F60" w:rsidRDefault="00E1768B" w:rsidP="007D1F60">
      <w:pPr>
        <w:pStyle w:val="BodyA"/>
        <w:numPr>
          <w:ilvl w:val="0"/>
          <w:numId w:val="3"/>
        </w:numPr>
        <w:tabs>
          <w:tab w:val="num" w:pos="720"/>
        </w:tabs>
        <w:spacing w:after="120" w:line="336" w:lineRule="auto"/>
        <w:ind w:left="720" w:hanging="360"/>
        <w:jc w:val="both"/>
        <w:rPr>
          <w:rFonts w:ascii="Times New Roman" w:hAnsi="Times New Roman" w:cs="Times New Roman"/>
        </w:rPr>
      </w:pPr>
      <w:r w:rsidRPr="007D1F60">
        <w:rPr>
          <w:rFonts w:ascii="Times New Roman" w:hAnsi="Times New Roman" w:cs="Times New Roman"/>
        </w:rPr>
        <w:t xml:space="preserve">Can a charitable </w:t>
      </w:r>
      <w:proofErr w:type="spellStart"/>
      <w:r w:rsidRPr="007D1F60">
        <w:rPr>
          <w:rFonts w:ascii="Times New Roman" w:hAnsi="Times New Roman" w:cs="Times New Roman"/>
        </w:rPr>
        <w:t>organisation</w:t>
      </w:r>
      <w:proofErr w:type="spellEnd"/>
      <w:r w:rsidRPr="007D1F60">
        <w:rPr>
          <w:rFonts w:ascii="Times New Roman" w:hAnsi="Times New Roman" w:cs="Times New Roman"/>
        </w:rPr>
        <w:t xml:space="preserve"> receive standing to contest a decision that might result in the possible extinction of animals when no particular person has been affected? </w:t>
      </w:r>
    </w:p>
    <w:p w:rsidR="00D345FF" w:rsidRPr="007D1F60" w:rsidRDefault="005558B4"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 xml:space="preserve">The issues include whether (1) a non-affected charitable organization should be provided standing to bring judicial review, (2) </w:t>
      </w:r>
      <w:r w:rsidR="00D345FF" w:rsidRPr="007D1F60">
        <w:rPr>
          <w:rFonts w:ascii="Times New Roman" w:hAnsi="Times New Roman" w:cs="Times New Roman"/>
        </w:rPr>
        <w:t xml:space="preserve">it would be an efficient use of the court’s resources to hear a judicial review on environmental issues, (3) it would be an efficient use of the courts resources to provide standing to the Alliance because the Alliance might be able to provide expertise to the courts and (4) the decision to provide standing to the Alliance should be affected by the </w:t>
      </w:r>
      <w:r w:rsidR="00BD1823" w:rsidRPr="007D1F60">
        <w:rPr>
          <w:rFonts w:ascii="Times New Roman" w:hAnsi="Times New Roman" w:cs="Times New Roman"/>
        </w:rPr>
        <w:t>fact that the</w:t>
      </w:r>
      <w:r w:rsidR="00D345FF" w:rsidRPr="007D1F60">
        <w:rPr>
          <w:rFonts w:ascii="Times New Roman" w:hAnsi="Times New Roman" w:cs="Times New Roman"/>
        </w:rPr>
        <w:t xml:space="preserve"> landowners who had the right to sue ch</w:t>
      </w:r>
      <w:r w:rsidR="00BD1823" w:rsidRPr="007D1F60">
        <w:rPr>
          <w:rFonts w:ascii="Times New Roman" w:hAnsi="Times New Roman" w:cs="Times New Roman"/>
        </w:rPr>
        <w:t>ose not to exercise their right</w:t>
      </w:r>
      <w:r w:rsidR="00D345FF" w:rsidRPr="007D1F60">
        <w:rPr>
          <w:rFonts w:ascii="Times New Roman" w:hAnsi="Times New Roman" w:cs="Times New Roman"/>
        </w:rPr>
        <w:t xml:space="preserve">. </w:t>
      </w:r>
    </w:p>
    <w:p w:rsidR="00574451" w:rsidRPr="007D1F60" w:rsidRDefault="00E1768B" w:rsidP="007D1F60">
      <w:pPr>
        <w:pStyle w:val="BodyA"/>
        <w:numPr>
          <w:ilvl w:val="0"/>
          <w:numId w:val="3"/>
        </w:numPr>
        <w:tabs>
          <w:tab w:val="num" w:pos="720"/>
        </w:tabs>
        <w:spacing w:after="120" w:line="336" w:lineRule="auto"/>
        <w:ind w:left="720" w:hanging="360"/>
        <w:jc w:val="both"/>
        <w:rPr>
          <w:rFonts w:ascii="Times New Roman" w:hAnsi="Times New Roman" w:cs="Times New Roman"/>
        </w:rPr>
      </w:pPr>
      <w:r w:rsidRPr="007D1F60">
        <w:rPr>
          <w:rFonts w:ascii="Times New Roman" w:hAnsi="Times New Roman" w:cs="Times New Roman"/>
        </w:rPr>
        <w:t>Must the Alliance bring the judicial review in good faith? In addition, does the receipt of funding</w:t>
      </w:r>
      <w:r w:rsidR="004E7744" w:rsidRPr="007D1F60">
        <w:rPr>
          <w:rFonts w:ascii="Times New Roman" w:eastAsiaTheme="minorEastAsia" w:hAnsi="Times New Roman" w:cs="Times New Roman" w:hint="eastAsia"/>
          <w:lang w:eastAsia="zh-CN"/>
        </w:rPr>
        <w:t xml:space="preserve"> [</w:t>
      </w:r>
      <w:r w:rsidRPr="007D1F60">
        <w:rPr>
          <w:rFonts w:ascii="Times New Roman" w:hAnsi="Times New Roman" w:cs="Times New Roman"/>
        </w:rPr>
        <w:t>from a commercial party</w:t>
      </w:r>
      <w:r w:rsidR="004E7744" w:rsidRPr="007D1F60">
        <w:rPr>
          <w:rFonts w:ascii="Times New Roman" w:eastAsiaTheme="minorEastAsia" w:hAnsi="Times New Roman" w:cs="Times New Roman" w:hint="eastAsia"/>
          <w:lang w:eastAsia="zh-CN"/>
        </w:rPr>
        <w:t>]</w:t>
      </w:r>
      <w:r w:rsidRPr="007D1F60">
        <w:rPr>
          <w:rFonts w:ascii="Times New Roman" w:hAnsi="Times New Roman" w:cs="Times New Roman"/>
        </w:rPr>
        <w:t xml:space="preserve"> </w:t>
      </w:r>
      <w:r w:rsidR="004410F5" w:rsidRPr="007D1F60">
        <w:rPr>
          <w:rFonts w:ascii="Times New Roman" w:eastAsiaTheme="minorEastAsia" w:hAnsi="Times New Roman" w:cs="Times New Roman" w:hint="eastAsia"/>
          <w:lang w:eastAsia="zh-CN"/>
        </w:rPr>
        <w:t>[</w:t>
      </w:r>
      <w:r w:rsidRPr="007D1F60">
        <w:rPr>
          <w:rFonts w:ascii="Times New Roman" w:hAnsi="Times New Roman" w:cs="Times New Roman"/>
        </w:rPr>
        <w:t xml:space="preserve">likely to be affected by the </w:t>
      </w:r>
      <w:proofErr w:type="gramStart"/>
      <w:r w:rsidRPr="007D1F60">
        <w:rPr>
          <w:rFonts w:ascii="Times New Roman" w:hAnsi="Times New Roman" w:cs="Times New Roman"/>
        </w:rPr>
        <w:t xml:space="preserve">decision </w:t>
      </w:r>
      <w:r w:rsidR="004410F5" w:rsidRPr="007D1F60">
        <w:rPr>
          <w:rFonts w:ascii="Times New Roman" w:eastAsiaTheme="minorEastAsia" w:hAnsi="Times New Roman" w:cs="Times New Roman" w:hint="eastAsia"/>
          <w:lang w:eastAsia="zh-CN"/>
        </w:rPr>
        <w:t>]</w:t>
      </w:r>
      <w:proofErr w:type="gramEnd"/>
      <w:r w:rsidR="004410F5" w:rsidRPr="007D1F60">
        <w:rPr>
          <w:rFonts w:ascii="Times New Roman" w:eastAsiaTheme="minorEastAsia" w:hAnsi="Times New Roman" w:cs="Times New Roman" w:hint="eastAsia"/>
          <w:lang w:eastAsia="zh-CN"/>
        </w:rPr>
        <w:t xml:space="preserve"> </w:t>
      </w:r>
      <w:r w:rsidRPr="007D1F60">
        <w:rPr>
          <w:rFonts w:ascii="Times New Roman" w:hAnsi="Times New Roman" w:cs="Times New Roman"/>
        </w:rPr>
        <w:t xml:space="preserve">indicate a lack of good faith? </w:t>
      </w:r>
    </w:p>
    <w:p w:rsidR="005558B4" w:rsidRPr="007D1F60" w:rsidRDefault="00E9249B" w:rsidP="007D1F60">
      <w:pPr>
        <w:pStyle w:val="BodyA"/>
        <w:spacing w:after="120" w:line="336" w:lineRule="auto"/>
        <w:jc w:val="both"/>
        <w:rPr>
          <w:rFonts w:ascii="Times New Roman" w:hAnsi="Times New Roman" w:cs="Times New Roman"/>
        </w:rPr>
      </w:pPr>
      <w:r w:rsidRPr="007D1F60">
        <w:rPr>
          <w:rFonts w:ascii="Times New Roman" w:hAnsi="Times New Roman" w:cs="Times New Roman"/>
        </w:rPr>
        <w:t>The issues include</w:t>
      </w:r>
      <w:r w:rsidR="00E1222A" w:rsidRPr="007D1F60">
        <w:rPr>
          <w:rFonts w:ascii="Times New Roman" w:hAnsi="Times New Roman" w:cs="Times New Roman"/>
        </w:rPr>
        <w:t xml:space="preserve"> whether</w:t>
      </w:r>
      <w:r w:rsidRPr="007D1F60">
        <w:rPr>
          <w:rFonts w:ascii="Times New Roman" w:hAnsi="Times New Roman" w:cs="Times New Roman"/>
        </w:rPr>
        <w:t xml:space="preserve"> (1)</w:t>
      </w:r>
      <w:r w:rsidR="00E1222A" w:rsidRPr="007D1F60">
        <w:rPr>
          <w:rFonts w:ascii="Times New Roman" w:hAnsi="Times New Roman" w:cs="Times New Roman"/>
        </w:rPr>
        <w:t xml:space="preserve"> standing will be provided for applicants who do not have good faith and (2) the applicant’s choice to accept funding from a third party with a commercial interest in the judicial review would und</w:t>
      </w:r>
      <w:bookmarkStart w:id="0" w:name="_GoBack"/>
      <w:bookmarkEnd w:id="0"/>
      <w:r w:rsidR="00E1222A" w:rsidRPr="007D1F60">
        <w:rPr>
          <w:rFonts w:ascii="Times New Roman" w:hAnsi="Times New Roman" w:cs="Times New Roman"/>
        </w:rPr>
        <w:t xml:space="preserve">ermine the good faith of the applicant in bringing a judicial review. </w:t>
      </w:r>
    </w:p>
    <w:p w:rsidR="005558B4" w:rsidRDefault="005558B4" w:rsidP="007D1F60">
      <w:pPr>
        <w:pStyle w:val="BodyA"/>
        <w:spacing w:after="120" w:line="360" w:lineRule="auto"/>
        <w:jc w:val="both"/>
        <w:rPr>
          <w:rFonts w:ascii="Times New Roman" w:eastAsiaTheme="minorEastAsia" w:hAnsi="Times New Roman" w:cs="Times New Roman" w:hint="eastAsia"/>
          <w:lang w:eastAsia="zh-CN"/>
        </w:rPr>
      </w:pPr>
    </w:p>
    <w:p w:rsidR="007D1F60" w:rsidRDefault="007D1F60" w:rsidP="007D1F60">
      <w:pPr>
        <w:pStyle w:val="BodyA"/>
        <w:spacing w:after="120" w:line="360" w:lineRule="auto"/>
        <w:jc w:val="both"/>
        <w:rPr>
          <w:rFonts w:ascii="Times New Roman" w:eastAsiaTheme="minorEastAsia" w:hAnsi="Times New Roman" w:cs="Times New Roman" w:hint="eastAsia"/>
          <w:lang w:eastAsia="zh-CN"/>
        </w:rPr>
      </w:pPr>
    </w:p>
    <w:p w:rsidR="00574451" w:rsidRPr="007D1F60" w:rsidRDefault="00574451" w:rsidP="007D1F60">
      <w:pPr>
        <w:pStyle w:val="BodyA"/>
        <w:spacing w:after="120" w:line="360" w:lineRule="auto"/>
        <w:jc w:val="center"/>
        <w:rPr>
          <w:rFonts w:ascii="Times New Roman" w:hAnsi="Times New Roman" w:cs="Times New Roman"/>
        </w:rPr>
      </w:pPr>
    </w:p>
    <w:sectPr w:rsidR="00574451" w:rsidRPr="007D1F60" w:rsidSect="00874462">
      <w:pgSz w:w="11900" w:h="16840"/>
      <w:pgMar w:top="1440" w:right="1800" w:bottom="1440" w:left="180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E7C" w:rsidRDefault="004E0E7C">
      <w:r>
        <w:separator/>
      </w:r>
    </w:p>
  </w:endnote>
  <w:endnote w:type="continuationSeparator" w:id="0">
    <w:p w:rsidR="004E0E7C" w:rsidRDefault="004E0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E7C" w:rsidRDefault="004E0E7C">
      <w:r>
        <w:separator/>
      </w:r>
    </w:p>
  </w:footnote>
  <w:footnote w:type="continuationSeparator" w:id="0">
    <w:p w:rsidR="004E0E7C" w:rsidRDefault="004E0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700FC2"/>
    <w:multiLevelType w:val="multilevel"/>
    <w:tmpl w:val="5162B42E"/>
    <w:lvl w:ilvl="0">
      <w:start w:val="1"/>
      <w:numFmt w:val="decimal"/>
      <w:lvlText w:val="%1."/>
      <w:lvlJc w:val="left"/>
      <w:rPr>
        <w:position w:val="0"/>
        <w:rtl w:val="0"/>
        <w:lang w:val="en-US"/>
      </w:rPr>
    </w:lvl>
    <w:lvl w:ilvl="1">
      <w:start w:val="1"/>
      <w:numFmt w:val="lowerLetter"/>
      <w:lvlText w:val="%2."/>
      <w:lvlJc w:val="left"/>
      <w:rPr>
        <w:position w:val="0"/>
        <w:rtl w:val="0"/>
        <w:lang w:val="en-US"/>
      </w:rPr>
    </w:lvl>
    <w:lvl w:ilvl="2">
      <w:start w:val="1"/>
      <w:numFmt w:val="lowerRoman"/>
      <w:lvlText w:val="%3."/>
      <w:lvlJc w:val="left"/>
      <w:rPr>
        <w:position w:val="0"/>
        <w:rtl w:val="0"/>
        <w:lang w:val="en-US"/>
      </w:rPr>
    </w:lvl>
    <w:lvl w:ilvl="3">
      <w:start w:val="1"/>
      <w:numFmt w:val="decimal"/>
      <w:lvlText w:val="%4."/>
      <w:lvlJc w:val="left"/>
      <w:rPr>
        <w:position w:val="0"/>
        <w:rtl w:val="0"/>
        <w:lang w:val="en-US"/>
      </w:rPr>
    </w:lvl>
    <w:lvl w:ilvl="4">
      <w:start w:val="1"/>
      <w:numFmt w:val="lowerLetter"/>
      <w:lvlText w:val="%5."/>
      <w:lvlJc w:val="left"/>
      <w:rPr>
        <w:position w:val="0"/>
        <w:rtl w:val="0"/>
        <w:lang w:val="en-US"/>
      </w:rPr>
    </w:lvl>
    <w:lvl w:ilvl="5">
      <w:start w:val="1"/>
      <w:numFmt w:val="lowerRoman"/>
      <w:lvlText w:val="%6."/>
      <w:lvlJc w:val="left"/>
      <w:rPr>
        <w:position w:val="0"/>
        <w:rtl w:val="0"/>
        <w:lang w:val="en-US"/>
      </w:rPr>
    </w:lvl>
    <w:lvl w:ilvl="6">
      <w:start w:val="1"/>
      <w:numFmt w:val="decimal"/>
      <w:lvlText w:val="%7."/>
      <w:lvlJc w:val="left"/>
      <w:rPr>
        <w:position w:val="0"/>
        <w:rtl w:val="0"/>
        <w:lang w:val="en-US"/>
      </w:rPr>
    </w:lvl>
    <w:lvl w:ilvl="7">
      <w:start w:val="1"/>
      <w:numFmt w:val="lowerLetter"/>
      <w:lvlText w:val="%8."/>
      <w:lvlJc w:val="left"/>
      <w:rPr>
        <w:position w:val="0"/>
        <w:rtl w:val="0"/>
        <w:lang w:val="en-US"/>
      </w:rPr>
    </w:lvl>
    <w:lvl w:ilvl="8">
      <w:start w:val="1"/>
      <w:numFmt w:val="lowerRoman"/>
      <w:lvlText w:val="%9."/>
      <w:lvlJc w:val="left"/>
      <w:rPr>
        <w:position w:val="0"/>
        <w:rtl w:val="0"/>
        <w:lang w:val="en-US"/>
      </w:rPr>
    </w:lvl>
  </w:abstractNum>
  <w:abstractNum w:abstractNumId="1">
    <w:nsid w:val="64696C92"/>
    <w:multiLevelType w:val="multilevel"/>
    <w:tmpl w:val="B882FAB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nsid w:val="7A710237"/>
    <w:multiLevelType w:val="multilevel"/>
    <w:tmpl w:val="60F4F226"/>
    <w:styleLink w:val="List0"/>
    <w:lvl w:ilvl="0">
      <w:start w:val="1"/>
      <w:numFmt w:val="decimal"/>
      <w:lvlText w:val="%1."/>
      <w:lvlJc w:val="left"/>
      <w:rPr>
        <w:position w:val="0"/>
        <w:rtl w:val="0"/>
        <w:lang w:val="en-US"/>
      </w:rPr>
    </w:lvl>
    <w:lvl w:ilvl="1">
      <w:start w:val="1"/>
      <w:numFmt w:val="lowerLetter"/>
      <w:lvlText w:val="%2."/>
      <w:lvlJc w:val="left"/>
      <w:rPr>
        <w:position w:val="0"/>
        <w:rtl w:val="0"/>
        <w:lang w:val="en-US"/>
      </w:rPr>
    </w:lvl>
    <w:lvl w:ilvl="2">
      <w:start w:val="1"/>
      <w:numFmt w:val="lowerRoman"/>
      <w:lvlText w:val="%3."/>
      <w:lvlJc w:val="left"/>
      <w:rPr>
        <w:position w:val="0"/>
        <w:rtl w:val="0"/>
        <w:lang w:val="en-US"/>
      </w:rPr>
    </w:lvl>
    <w:lvl w:ilvl="3">
      <w:start w:val="1"/>
      <w:numFmt w:val="decimal"/>
      <w:lvlText w:val="%4."/>
      <w:lvlJc w:val="left"/>
      <w:rPr>
        <w:position w:val="0"/>
        <w:rtl w:val="0"/>
        <w:lang w:val="en-US"/>
      </w:rPr>
    </w:lvl>
    <w:lvl w:ilvl="4">
      <w:start w:val="1"/>
      <w:numFmt w:val="lowerLetter"/>
      <w:lvlText w:val="%5."/>
      <w:lvlJc w:val="left"/>
      <w:rPr>
        <w:position w:val="0"/>
        <w:rtl w:val="0"/>
        <w:lang w:val="en-US"/>
      </w:rPr>
    </w:lvl>
    <w:lvl w:ilvl="5">
      <w:start w:val="1"/>
      <w:numFmt w:val="lowerRoman"/>
      <w:lvlText w:val="%6."/>
      <w:lvlJc w:val="left"/>
      <w:rPr>
        <w:position w:val="0"/>
        <w:rtl w:val="0"/>
        <w:lang w:val="en-US"/>
      </w:rPr>
    </w:lvl>
    <w:lvl w:ilvl="6">
      <w:start w:val="1"/>
      <w:numFmt w:val="decimal"/>
      <w:lvlText w:val="%7."/>
      <w:lvlJc w:val="left"/>
      <w:rPr>
        <w:position w:val="0"/>
        <w:rtl w:val="0"/>
        <w:lang w:val="en-US"/>
      </w:rPr>
    </w:lvl>
    <w:lvl w:ilvl="7">
      <w:start w:val="1"/>
      <w:numFmt w:val="lowerLetter"/>
      <w:lvlText w:val="%8."/>
      <w:lvlJc w:val="left"/>
      <w:rPr>
        <w:position w:val="0"/>
        <w:rtl w:val="0"/>
        <w:lang w:val="en-US"/>
      </w:rPr>
    </w:lvl>
    <w:lvl w:ilvl="8">
      <w:start w:val="1"/>
      <w:numFmt w:val="lowerRoman"/>
      <w:lvlText w:val="%9."/>
      <w:lvlJc w:val="left"/>
      <w:rPr>
        <w:position w:val="0"/>
        <w:rtl w:val="0"/>
        <w:lang w:val="en-US"/>
      </w:rPr>
    </w:lvl>
  </w:abstractNum>
  <w:num w:numId="1">
    <w:abstractNumId w:val="0"/>
  </w:num>
  <w:num w:numId="2">
    <w:abstractNumId w:val="1"/>
  </w:num>
  <w:num w:numId="3">
    <w:abstractNumId w:val="2"/>
    <w:lvlOverride w:ilvl="0">
      <w:lvl w:ilvl="0">
        <w:start w:val="1"/>
        <w:numFmt w:val="decimal"/>
        <w:lvlText w:val="%1."/>
        <w:lvlJc w:val="left"/>
        <w:rPr>
          <w:rFonts w:ascii="Times New Roman" w:hAnsi="Times New Roman" w:cs="Times New Roman" w:hint="default"/>
          <w:position w:val="0"/>
          <w:rtl w:val="0"/>
          <w:lang w:val="en-US"/>
        </w:rPr>
      </w:lvl>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574451"/>
    <w:rsid w:val="000F5C1F"/>
    <w:rsid w:val="00107B73"/>
    <w:rsid w:val="00176120"/>
    <w:rsid w:val="00316801"/>
    <w:rsid w:val="003D050D"/>
    <w:rsid w:val="004410F5"/>
    <w:rsid w:val="004906F7"/>
    <w:rsid w:val="004A3335"/>
    <w:rsid w:val="004C4357"/>
    <w:rsid w:val="004E0E7C"/>
    <w:rsid w:val="004E7744"/>
    <w:rsid w:val="005558B4"/>
    <w:rsid w:val="00574451"/>
    <w:rsid w:val="007D1F60"/>
    <w:rsid w:val="00862348"/>
    <w:rsid w:val="00874462"/>
    <w:rsid w:val="008A7388"/>
    <w:rsid w:val="00920D73"/>
    <w:rsid w:val="009334AD"/>
    <w:rsid w:val="00A26BF8"/>
    <w:rsid w:val="00A4380C"/>
    <w:rsid w:val="00A47C72"/>
    <w:rsid w:val="00B53DE3"/>
    <w:rsid w:val="00BD1823"/>
    <w:rsid w:val="00C9269F"/>
    <w:rsid w:val="00D06F14"/>
    <w:rsid w:val="00D345FF"/>
    <w:rsid w:val="00DE4530"/>
    <w:rsid w:val="00DF537C"/>
    <w:rsid w:val="00E1222A"/>
    <w:rsid w:val="00E1768B"/>
    <w:rsid w:val="00E2770D"/>
    <w:rsid w:val="00E32589"/>
    <w:rsid w:val="00E9249B"/>
    <w:rsid w:val="00FA2C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74462"/>
    <w:rPr>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74462"/>
    <w:rPr>
      <w:u w:val="single"/>
    </w:rPr>
  </w:style>
  <w:style w:type="paragraph" w:customStyle="1" w:styleId="HeaderFooter">
    <w:name w:val="Header &amp; Footer"/>
    <w:rsid w:val="00874462"/>
    <w:pPr>
      <w:tabs>
        <w:tab w:val="right" w:pos="9020"/>
      </w:tabs>
    </w:pPr>
    <w:rPr>
      <w:rFonts w:ascii="Helvetica" w:hAnsi="Arial Unicode MS" w:cs="Arial Unicode MS"/>
      <w:color w:val="000000"/>
      <w:sz w:val="24"/>
      <w:szCs w:val="24"/>
    </w:rPr>
  </w:style>
  <w:style w:type="paragraph" w:customStyle="1" w:styleId="BodyA">
    <w:name w:val="Body A"/>
    <w:rsid w:val="00874462"/>
    <w:rPr>
      <w:rFonts w:ascii="Cambria" w:eastAsia="Cambria" w:hAnsi="Cambria" w:cs="Cambria"/>
      <w:color w:val="000000"/>
      <w:sz w:val="24"/>
      <w:szCs w:val="24"/>
      <w:u w:color="000000"/>
      <w:lang w:val="en-US"/>
    </w:rPr>
  </w:style>
  <w:style w:type="numbering" w:customStyle="1" w:styleId="List0">
    <w:name w:val="List 0"/>
    <w:basedOn w:val="ImportedStyle1"/>
    <w:rsid w:val="00874462"/>
    <w:pPr>
      <w:numPr>
        <w:numId w:val="4"/>
      </w:numPr>
    </w:pPr>
  </w:style>
  <w:style w:type="numbering" w:customStyle="1" w:styleId="ImportedStyle1">
    <w:name w:val="Imported Style 1"/>
    <w:rsid w:val="00874462"/>
  </w:style>
  <w:style w:type="paragraph" w:styleId="a4">
    <w:name w:val="Balloon Text"/>
    <w:basedOn w:val="a"/>
    <w:link w:val="Char"/>
    <w:uiPriority w:val="99"/>
    <w:semiHidden/>
    <w:unhideWhenUsed/>
    <w:rsid w:val="00E1768B"/>
    <w:rPr>
      <w:rFonts w:ascii="Lucida Grande" w:hAnsi="Lucida Grande" w:cs="Lucida Grande"/>
      <w:sz w:val="18"/>
      <w:szCs w:val="18"/>
    </w:rPr>
  </w:style>
  <w:style w:type="character" w:customStyle="1" w:styleId="Char">
    <w:name w:val="批注框文本 Char"/>
    <w:basedOn w:val="a0"/>
    <w:link w:val="a4"/>
    <w:uiPriority w:val="99"/>
    <w:semiHidden/>
    <w:rsid w:val="00E1768B"/>
    <w:rPr>
      <w:rFonts w:ascii="Lucida Grande" w:hAnsi="Lucida Grande" w:cs="Lucida Grande"/>
      <w:sz w:val="18"/>
      <w:szCs w:val="18"/>
      <w:lang w:val="en-US"/>
    </w:rPr>
  </w:style>
  <w:style w:type="paragraph" w:styleId="a5">
    <w:name w:val="header"/>
    <w:basedOn w:val="a"/>
    <w:link w:val="Char0"/>
    <w:uiPriority w:val="99"/>
    <w:semiHidden/>
    <w:unhideWhenUsed/>
    <w:rsid w:val="00A438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A4380C"/>
    <w:rPr>
      <w:sz w:val="18"/>
      <w:szCs w:val="18"/>
      <w:lang w:val="en-US"/>
    </w:rPr>
  </w:style>
  <w:style w:type="paragraph" w:styleId="a6">
    <w:name w:val="footer"/>
    <w:basedOn w:val="a"/>
    <w:link w:val="Char1"/>
    <w:uiPriority w:val="99"/>
    <w:semiHidden/>
    <w:unhideWhenUsed/>
    <w:rsid w:val="00A4380C"/>
    <w:pPr>
      <w:tabs>
        <w:tab w:val="center" w:pos="4153"/>
        <w:tab w:val="right" w:pos="8306"/>
      </w:tabs>
      <w:snapToGrid w:val="0"/>
    </w:pPr>
    <w:rPr>
      <w:sz w:val="18"/>
      <w:szCs w:val="18"/>
    </w:rPr>
  </w:style>
  <w:style w:type="character" w:customStyle="1" w:styleId="Char1">
    <w:name w:val="页脚 Char"/>
    <w:basedOn w:val="a0"/>
    <w:link w:val="a6"/>
    <w:uiPriority w:val="99"/>
    <w:semiHidden/>
    <w:rsid w:val="00A4380C"/>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A">
    <w:name w:val="Body A"/>
    <w:rPr>
      <w:rFonts w:ascii="Cambria" w:eastAsia="Cambria" w:hAnsi="Cambria" w:cs="Cambria"/>
      <w:color w:val="000000"/>
      <w:sz w:val="24"/>
      <w:szCs w:val="24"/>
      <w:u w:color="000000"/>
      <w:lang w:val="en-US"/>
    </w:rPr>
  </w:style>
  <w:style w:type="numbering" w:customStyle="1" w:styleId="List0">
    <w:name w:val="List 0"/>
    <w:basedOn w:val="ImportedStyle1"/>
    <w:pPr>
      <w:numPr>
        <w:numId w:val="4"/>
      </w:numPr>
    </w:pPr>
  </w:style>
  <w:style w:type="numbering" w:customStyle="1" w:styleId="ImportedStyle1">
    <w:name w:val="Imported Style 1"/>
  </w:style>
  <w:style w:type="paragraph" w:styleId="BalloonText">
    <w:name w:val="Balloon Text"/>
    <w:basedOn w:val="Normal"/>
    <w:link w:val="BalloonTextChar"/>
    <w:uiPriority w:val="99"/>
    <w:semiHidden/>
    <w:unhideWhenUsed/>
    <w:rsid w:val="00E176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768B"/>
    <w:rPr>
      <w:rFonts w:ascii="Lucida Grande" w:hAnsi="Lucida Grande" w:cs="Lucida Grande"/>
      <w:sz w:val="18"/>
      <w:szCs w:val="18"/>
      <w:lang w:val="en-US"/>
    </w:r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3</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Raffles Junior College</Company>
  <LinksUpToDate>false</LinksUpToDate>
  <CharactersWithSpaces>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LawsUser-Kimberley</dc:creator>
  <cp:lastModifiedBy>Yin</cp:lastModifiedBy>
  <cp:revision>8</cp:revision>
  <dcterms:created xsi:type="dcterms:W3CDTF">2014-02-10T13:25:00Z</dcterms:created>
  <dcterms:modified xsi:type="dcterms:W3CDTF">2014-03-18T06:31:00Z</dcterms:modified>
</cp:coreProperties>
</file>